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8A8" w:rsidRDefault="009D58A8" w:rsidP="009D58A8">
      <w:pPr>
        <w:jc w:val="center"/>
        <w:rPr>
          <w:rFonts w:cstheme="minorHAnsi"/>
          <w:sz w:val="20"/>
          <w:szCs w:val="20"/>
        </w:rPr>
      </w:pPr>
      <w:r w:rsidRPr="00EE0608">
        <w:rPr>
          <w:rFonts w:cstheme="minorHAnsi"/>
          <w:noProof/>
          <w:sz w:val="20"/>
          <w:szCs w:val="20"/>
        </w:rPr>
        <w:drawing>
          <wp:inline distT="0" distB="0" distL="0" distR="0" wp14:anchorId="71FAAFE3" wp14:editId="393A8F33">
            <wp:extent cx="3962400" cy="12823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MS Logo - High 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73437" cy="1285886"/>
                    </a:xfrm>
                    <a:prstGeom prst="rect">
                      <a:avLst/>
                    </a:prstGeom>
                  </pic:spPr>
                </pic:pic>
              </a:graphicData>
            </a:graphic>
          </wp:inline>
        </w:drawing>
      </w:r>
    </w:p>
    <w:p w:rsidR="00F75E5D" w:rsidRDefault="005737A6" w:rsidP="009D58A8">
      <w:pPr>
        <w:jc w:val="center"/>
        <w:rPr>
          <w:rFonts w:cstheme="minorHAnsi"/>
          <w:b/>
          <w:szCs w:val="20"/>
        </w:rPr>
      </w:pPr>
      <w:r>
        <w:rPr>
          <w:noProof/>
        </w:rPr>
        <w:drawing>
          <wp:inline distT="0" distB="0" distL="0" distR="0" wp14:anchorId="3BFF6398" wp14:editId="4F9C8F5E">
            <wp:extent cx="2108127" cy="802005"/>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5516" cy="804816"/>
                    </a:xfrm>
                    <a:prstGeom prst="rect">
                      <a:avLst/>
                    </a:prstGeom>
                    <a:noFill/>
                    <a:ln>
                      <a:noFill/>
                    </a:ln>
                  </pic:spPr>
                </pic:pic>
              </a:graphicData>
            </a:graphic>
          </wp:inline>
        </w:drawing>
      </w:r>
    </w:p>
    <w:p w:rsidR="005737A6" w:rsidRDefault="005737A6" w:rsidP="009D58A8">
      <w:pPr>
        <w:jc w:val="center"/>
        <w:rPr>
          <w:rFonts w:cstheme="minorHAnsi"/>
          <w:b/>
          <w:szCs w:val="20"/>
        </w:rPr>
      </w:pPr>
    </w:p>
    <w:p w:rsidR="005737A6" w:rsidRPr="005737A6" w:rsidRDefault="005737A6" w:rsidP="009D58A8">
      <w:pPr>
        <w:jc w:val="center"/>
        <w:rPr>
          <w:b/>
          <w:szCs w:val="20"/>
          <w:lang w:val="en-US"/>
        </w:rPr>
      </w:pPr>
      <w:bookmarkStart w:id="0" w:name="_GoBack"/>
      <w:r w:rsidRPr="005737A6">
        <w:rPr>
          <w:b/>
          <w:szCs w:val="20"/>
          <w:lang w:val="en-US"/>
        </w:rPr>
        <w:t>Mercantile Marine Pty Ltd</w:t>
      </w:r>
    </w:p>
    <w:bookmarkEnd w:id="0"/>
    <w:p w:rsidR="005737A6" w:rsidRPr="005737A6" w:rsidRDefault="005737A6" w:rsidP="005737A6">
      <w:pPr>
        <w:ind w:left="26"/>
        <w:rPr>
          <w:sz w:val="20"/>
          <w:szCs w:val="20"/>
          <w:lang w:val="en-US"/>
        </w:rPr>
      </w:pPr>
      <w:r w:rsidRPr="005737A6">
        <w:rPr>
          <w:sz w:val="20"/>
          <w:szCs w:val="20"/>
          <w:lang w:val="en-US"/>
        </w:rPr>
        <w:t>Mercantile Marine Pty Ltd was established in 2003, becoming the parent company of both WA Mercantile Services and Griffith WA Services.</w:t>
      </w:r>
    </w:p>
    <w:p w:rsidR="005737A6" w:rsidRPr="005737A6" w:rsidRDefault="005737A6" w:rsidP="005737A6">
      <w:pPr>
        <w:ind w:left="26"/>
        <w:rPr>
          <w:sz w:val="20"/>
          <w:szCs w:val="20"/>
          <w:lang w:val="en-US"/>
        </w:rPr>
      </w:pPr>
      <w:r w:rsidRPr="005737A6">
        <w:rPr>
          <w:sz w:val="20"/>
          <w:szCs w:val="20"/>
          <w:lang w:val="en-US"/>
        </w:rPr>
        <w:t>WA Mercantile Services was incorporated in Fremantle in 1979, to provide ancillary shipping and marine insurance services to Western Australia. In 1985, WA Mercantile Services acquired the company Griffith WA Services, which was the Western Australia franchise from the Internationally recognised Inspection, Marine Surveying and Assay Group, then known as Daniel C Griffith &amp; Co based in the UK.</w:t>
      </w:r>
    </w:p>
    <w:p w:rsidR="005737A6" w:rsidRPr="005737A6" w:rsidRDefault="005737A6" w:rsidP="005737A6">
      <w:pPr>
        <w:ind w:left="26"/>
        <w:rPr>
          <w:sz w:val="20"/>
          <w:szCs w:val="20"/>
          <w:lang w:val="en-US"/>
        </w:rPr>
      </w:pPr>
      <w:r w:rsidRPr="005737A6">
        <w:rPr>
          <w:sz w:val="20"/>
          <w:szCs w:val="20"/>
          <w:lang w:val="en-US"/>
        </w:rPr>
        <w:t xml:space="preserve">Today Mercantile Marine has offices in both Geraldton and Bunbury, providing the following services to the marine industry in Western Australia. </w:t>
      </w:r>
    </w:p>
    <w:p w:rsidR="005737A6" w:rsidRPr="005737A6" w:rsidRDefault="005737A6" w:rsidP="005737A6">
      <w:pPr>
        <w:numPr>
          <w:ilvl w:val="0"/>
          <w:numId w:val="2"/>
        </w:numPr>
        <w:spacing w:after="0" w:line="240" w:lineRule="auto"/>
        <w:ind w:left="540"/>
        <w:textAlignment w:val="center"/>
        <w:rPr>
          <w:sz w:val="20"/>
          <w:szCs w:val="20"/>
          <w:lang w:val="en-US"/>
        </w:rPr>
      </w:pPr>
      <w:r w:rsidRPr="005737A6">
        <w:rPr>
          <w:b/>
          <w:bCs/>
          <w:sz w:val="20"/>
          <w:szCs w:val="20"/>
          <w:lang w:val="en-US"/>
        </w:rPr>
        <w:t>Marine Surveying</w:t>
      </w:r>
      <w:r w:rsidRPr="005737A6">
        <w:rPr>
          <w:sz w:val="20"/>
          <w:szCs w:val="20"/>
          <w:lang w:val="en-US"/>
        </w:rPr>
        <w:t>: Draft Surveying, Ships Hold Surveying (cleanliness, suitability and water tightness), On and Off Hire Surveys and Bunker Surveys</w:t>
      </w:r>
    </w:p>
    <w:p w:rsidR="005737A6" w:rsidRPr="005737A6" w:rsidRDefault="005737A6" w:rsidP="005737A6">
      <w:pPr>
        <w:numPr>
          <w:ilvl w:val="0"/>
          <w:numId w:val="2"/>
        </w:numPr>
        <w:spacing w:after="0" w:line="240" w:lineRule="auto"/>
        <w:ind w:left="540"/>
        <w:textAlignment w:val="center"/>
        <w:rPr>
          <w:sz w:val="20"/>
          <w:szCs w:val="20"/>
          <w:lang w:val="en-US"/>
        </w:rPr>
      </w:pPr>
      <w:r w:rsidRPr="005737A6">
        <w:rPr>
          <w:b/>
          <w:bCs/>
          <w:sz w:val="20"/>
          <w:szCs w:val="20"/>
          <w:lang w:val="en-US"/>
        </w:rPr>
        <w:t>Small Vessel Survey</w:t>
      </w:r>
      <w:r w:rsidRPr="005737A6">
        <w:rPr>
          <w:sz w:val="20"/>
          <w:szCs w:val="20"/>
          <w:lang w:val="en-US"/>
        </w:rPr>
        <w:t>: Survey and Valuations on Commercial and Recreational vessels, structural integrity, engineering and damage assessment for the insurance and banking industry.</w:t>
      </w:r>
    </w:p>
    <w:p w:rsidR="005737A6" w:rsidRPr="005737A6" w:rsidRDefault="005737A6" w:rsidP="005737A6">
      <w:pPr>
        <w:numPr>
          <w:ilvl w:val="0"/>
          <w:numId w:val="2"/>
        </w:numPr>
        <w:spacing w:after="0" w:line="240" w:lineRule="auto"/>
        <w:ind w:left="540"/>
        <w:textAlignment w:val="center"/>
        <w:rPr>
          <w:sz w:val="20"/>
          <w:szCs w:val="20"/>
          <w:lang w:val="en-US"/>
        </w:rPr>
      </w:pPr>
      <w:r w:rsidRPr="005737A6">
        <w:rPr>
          <w:b/>
          <w:bCs/>
          <w:sz w:val="20"/>
          <w:szCs w:val="20"/>
          <w:lang w:val="en-US"/>
        </w:rPr>
        <w:t>Ships Agency</w:t>
      </w:r>
      <w:r w:rsidRPr="005737A6">
        <w:rPr>
          <w:sz w:val="20"/>
          <w:szCs w:val="20"/>
          <w:lang w:val="en-US"/>
        </w:rPr>
        <w:t>: Co-ordination of all loading activities and preparation of shipping documentation including export entries, Bills of Lading and Customs.</w:t>
      </w:r>
    </w:p>
    <w:p w:rsidR="005737A6" w:rsidRPr="005737A6" w:rsidRDefault="005737A6" w:rsidP="005737A6">
      <w:pPr>
        <w:numPr>
          <w:ilvl w:val="0"/>
          <w:numId w:val="2"/>
        </w:numPr>
        <w:spacing w:after="0" w:line="240" w:lineRule="auto"/>
        <w:ind w:left="540"/>
        <w:textAlignment w:val="center"/>
        <w:rPr>
          <w:sz w:val="20"/>
          <w:szCs w:val="20"/>
          <w:lang w:val="en-US"/>
        </w:rPr>
      </w:pPr>
      <w:r w:rsidRPr="005737A6">
        <w:rPr>
          <w:b/>
          <w:bCs/>
          <w:sz w:val="20"/>
          <w:szCs w:val="20"/>
          <w:lang w:val="en-US"/>
        </w:rPr>
        <w:t>Ship Brokering</w:t>
      </w:r>
      <w:r w:rsidRPr="005737A6">
        <w:rPr>
          <w:sz w:val="20"/>
          <w:szCs w:val="20"/>
          <w:lang w:val="en-US"/>
        </w:rPr>
        <w:t>: Negotiation with ship owners and fixing full or part cargoes on behalf of Mining Clients.</w:t>
      </w:r>
    </w:p>
    <w:p w:rsidR="005737A6" w:rsidRPr="005737A6" w:rsidRDefault="005737A6" w:rsidP="005737A6">
      <w:pPr>
        <w:numPr>
          <w:ilvl w:val="0"/>
          <w:numId w:val="2"/>
        </w:numPr>
        <w:spacing w:after="0" w:line="240" w:lineRule="auto"/>
        <w:ind w:left="540"/>
        <w:textAlignment w:val="center"/>
        <w:rPr>
          <w:sz w:val="20"/>
          <w:szCs w:val="20"/>
          <w:lang w:val="en-US"/>
        </w:rPr>
      </w:pPr>
      <w:r w:rsidRPr="005737A6">
        <w:rPr>
          <w:b/>
          <w:bCs/>
          <w:sz w:val="20"/>
          <w:szCs w:val="20"/>
          <w:lang w:val="en-US"/>
        </w:rPr>
        <w:t>Stevedoring</w:t>
      </w:r>
      <w:r w:rsidRPr="005737A6">
        <w:rPr>
          <w:sz w:val="20"/>
          <w:szCs w:val="20"/>
          <w:lang w:val="en-US"/>
        </w:rPr>
        <w:t>: Provision of suitably qualified staff for the loading and discharging of bulk cargo, bagged cargo and heavy lifts.</w:t>
      </w:r>
    </w:p>
    <w:p w:rsidR="005737A6" w:rsidRPr="005737A6" w:rsidRDefault="005737A6" w:rsidP="005737A6">
      <w:pPr>
        <w:numPr>
          <w:ilvl w:val="0"/>
          <w:numId w:val="2"/>
        </w:numPr>
        <w:spacing w:after="0" w:line="240" w:lineRule="auto"/>
        <w:ind w:left="540"/>
        <w:textAlignment w:val="center"/>
        <w:rPr>
          <w:sz w:val="20"/>
          <w:szCs w:val="20"/>
          <w:lang w:val="en-US"/>
        </w:rPr>
      </w:pPr>
      <w:r w:rsidRPr="005737A6">
        <w:rPr>
          <w:b/>
          <w:bCs/>
          <w:sz w:val="20"/>
          <w:szCs w:val="20"/>
          <w:lang w:val="en-US"/>
        </w:rPr>
        <w:t>Commodity Sampling and Moisture Determination</w:t>
      </w:r>
      <w:r w:rsidRPr="005737A6">
        <w:rPr>
          <w:sz w:val="20"/>
          <w:szCs w:val="20"/>
          <w:lang w:val="en-US"/>
        </w:rPr>
        <w:t>: In accordance with Australian and ISO Standards.</w:t>
      </w:r>
    </w:p>
    <w:p w:rsidR="005737A6" w:rsidRPr="005737A6" w:rsidRDefault="005737A6" w:rsidP="005737A6">
      <w:pPr>
        <w:numPr>
          <w:ilvl w:val="0"/>
          <w:numId w:val="2"/>
        </w:numPr>
        <w:spacing w:after="0" w:line="240" w:lineRule="auto"/>
        <w:ind w:left="540"/>
        <w:textAlignment w:val="center"/>
        <w:rPr>
          <w:sz w:val="20"/>
          <w:szCs w:val="20"/>
          <w:lang w:val="en-US"/>
        </w:rPr>
      </w:pPr>
      <w:r w:rsidRPr="005737A6">
        <w:rPr>
          <w:b/>
          <w:bCs/>
          <w:sz w:val="20"/>
          <w:szCs w:val="20"/>
          <w:lang w:val="en-US"/>
        </w:rPr>
        <w:t xml:space="preserve">Laboratory: </w:t>
      </w:r>
      <w:r w:rsidRPr="005737A6">
        <w:rPr>
          <w:sz w:val="20"/>
          <w:szCs w:val="20"/>
          <w:lang w:val="en-US"/>
        </w:rPr>
        <w:t>Specializing in Transportable Moisture Limit Analysis as per the IMSBC Code.</w:t>
      </w:r>
    </w:p>
    <w:p w:rsidR="005737A6" w:rsidRPr="005737A6" w:rsidRDefault="005737A6" w:rsidP="005737A6">
      <w:pPr>
        <w:numPr>
          <w:ilvl w:val="0"/>
          <w:numId w:val="2"/>
        </w:numPr>
        <w:spacing w:after="0" w:line="240" w:lineRule="auto"/>
        <w:ind w:left="540"/>
        <w:textAlignment w:val="center"/>
        <w:rPr>
          <w:sz w:val="20"/>
          <w:szCs w:val="20"/>
          <w:lang w:val="en-US"/>
        </w:rPr>
      </w:pPr>
      <w:proofErr w:type="spellStart"/>
      <w:r w:rsidRPr="005737A6">
        <w:rPr>
          <w:b/>
          <w:bCs/>
          <w:sz w:val="20"/>
          <w:szCs w:val="20"/>
          <w:lang w:val="en-US"/>
        </w:rPr>
        <w:t>Authorised</w:t>
      </w:r>
      <w:proofErr w:type="spellEnd"/>
      <w:r w:rsidRPr="005737A6">
        <w:rPr>
          <w:b/>
          <w:bCs/>
          <w:sz w:val="20"/>
          <w:szCs w:val="20"/>
          <w:lang w:val="en-US"/>
        </w:rPr>
        <w:t xml:space="preserve"> Officers</w:t>
      </w:r>
      <w:r w:rsidRPr="005737A6">
        <w:rPr>
          <w:sz w:val="20"/>
          <w:szCs w:val="20"/>
          <w:lang w:val="en-US"/>
        </w:rPr>
        <w:t>: Department of Agriculture and Water Resources qualified Authorized Officers for both samples and empty bulk carriers.</w:t>
      </w:r>
    </w:p>
    <w:p w:rsidR="005737A6" w:rsidRDefault="005737A6" w:rsidP="009D58A8">
      <w:pPr>
        <w:jc w:val="center"/>
        <w:rPr>
          <w:rFonts w:cstheme="minorHAnsi"/>
          <w:b/>
          <w:szCs w:val="20"/>
        </w:rPr>
      </w:pPr>
    </w:p>
    <w:p w:rsidR="005737A6" w:rsidRDefault="005737A6" w:rsidP="009D58A8">
      <w:pPr>
        <w:jc w:val="center"/>
        <w:rPr>
          <w:rFonts w:cstheme="minorHAnsi"/>
          <w:b/>
          <w:szCs w:val="20"/>
        </w:rPr>
      </w:pPr>
    </w:p>
    <w:p w:rsidR="005737A6" w:rsidRPr="00F75E5D" w:rsidRDefault="005737A6" w:rsidP="009D58A8">
      <w:pPr>
        <w:jc w:val="center"/>
        <w:rPr>
          <w:rFonts w:cstheme="minorHAnsi"/>
          <w:b/>
          <w:szCs w:val="20"/>
        </w:rPr>
      </w:pPr>
    </w:p>
    <w:p w:rsidR="00530D11" w:rsidRDefault="00530D11" w:rsidP="009D58A8">
      <w:pPr>
        <w:jc w:val="center"/>
        <w:rPr>
          <w:rFonts w:cstheme="minorHAnsi"/>
          <w:sz w:val="20"/>
          <w:szCs w:val="20"/>
        </w:rPr>
      </w:pPr>
    </w:p>
    <w:p w:rsidR="00530D11" w:rsidRDefault="00530D11" w:rsidP="009D58A8">
      <w:pPr>
        <w:jc w:val="center"/>
        <w:rPr>
          <w:rFonts w:cstheme="minorHAnsi"/>
          <w:sz w:val="20"/>
          <w:szCs w:val="20"/>
        </w:rPr>
      </w:pPr>
    </w:p>
    <w:p w:rsidR="00530D11" w:rsidRDefault="00530D11" w:rsidP="009D58A8">
      <w:pPr>
        <w:jc w:val="center"/>
        <w:rPr>
          <w:rFonts w:cstheme="minorHAnsi"/>
          <w:sz w:val="20"/>
          <w:szCs w:val="20"/>
        </w:rPr>
      </w:pPr>
    </w:p>
    <w:sectPr w:rsidR="00530D11" w:rsidSect="009D58A8">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E2168"/>
    <w:multiLevelType w:val="hybridMultilevel"/>
    <w:tmpl w:val="06A69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CC540DE"/>
    <w:multiLevelType w:val="multilevel"/>
    <w:tmpl w:val="8BC0E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8A8"/>
    <w:rsid w:val="002670CC"/>
    <w:rsid w:val="002F57C8"/>
    <w:rsid w:val="003B7F8D"/>
    <w:rsid w:val="004F3A6F"/>
    <w:rsid w:val="00515685"/>
    <w:rsid w:val="005159F6"/>
    <w:rsid w:val="00530D11"/>
    <w:rsid w:val="00532A41"/>
    <w:rsid w:val="005737A6"/>
    <w:rsid w:val="006A4478"/>
    <w:rsid w:val="007F26E3"/>
    <w:rsid w:val="009D58A8"/>
    <w:rsid w:val="00A46BA5"/>
    <w:rsid w:val="00C426F4"/>
    <w:rsid w:val="00D809F8"/>
    <w:rsid w:val="00F75E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9B4D8"/>
  <w15:chartTrackingRefBased/>
  <w15:docId w15:val="{A20B14EC-2AC0-43AA-A0C2-18C332A3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5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8A8"/>
    <w:rPr>
      <w:color w:val="0563C1"/>
      <w:u w:val="single"/>
    </w:rPr>
  </w:style>
  <w:style w:type="table" w:styleId="TableGrid">
    <w:name w:val="Table Grid"/>
    <w:basedOn w:val="TableNormal"/>
    <w:uiPriority w:val="39"/>
    <w:rsid w:val="00532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6BA5"/>
    <w:pPr>
      <w:ind w:left="720"/>
      <w:contextualSpacing/>
    </w:pPr>
  </w:style>
  <w:style w:type="paragraph" w:styleId="NormalWeb">
    <w:name w:val="Normal (Web)"/>
    <w:basedOn w:val="Normal"/>
    <w:uiPriority w:val="99"/>
    <w:unhideWhenUsed/>
    <w:rsid w:val="00515685"/>
    <w:pPr>
      <w:spacing w:before="100" w:beforeAutospacing="1" w:after="100" w:afterAutospacing="1"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Jackman</dc:creator>
  <cp:keywords/>
  <dc:description/>
  <cp:lastModifiedBy>Sabina Jackman</cp:lastModifiedBy>
  <cp:revision>2</cp:revision>
  <dcterms:created xsi:type="dcterms:W3CDTF">2018-10-16T03:39:00Z</dcterms:created>
  <dcterms:modified xsi:type="dcterms:W3CDTF">2018-10-16T03:39:00Z</dcterms:modified>
</cp:coreProperties>
</file>